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tbl>
      <w:tblPr>
        <w:tblStyle w:val="4"/>
        <w:tblpPr w:leftFromText="180" w:rightFromText="180" w:vertAnchor="text" w:horzAnchor="page" w:tblpX="72" w:tblpY="466"/>
        <w:tblOverlap w:val="never"/>
        <w:tblW w:w="1155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7"/>
        <w:gridCol w:w="923"/>
        <w:gridCol w:w="1128"/>
        <w:gridCol w:w="1054"/>
        <w:gridCol w:w="1054"/>
        <w:gridCol w:w="1054"/>
        <w:gridCol w:w="3444"/>
        <w:gridCol w:w="1054"/>
        <w:gridCol w:w="13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1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黄畅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2017020361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互殴与正当防卫界分的实证研究——以2859份刑事裁判文书为样本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邹易材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吴换梅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2017020342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黑恶势力“软暴力”行为刑法规制问题研究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邹易材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张坤林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2017020290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我国受贿罪量刑差异问题研究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——基于200名厅局级官员受贿案的分析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邹易材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李雨霏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2017020163 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曾睿、郑辉鸿等侵犯公民个人信息案例分析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邹易材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杨恒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2017020274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我国管制刑的完善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魏红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徐滔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2017020272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妨害公务罪之“暴力、威胁”行为研究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魏红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沈鑫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2017020332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我国刑罚附随后果研究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魏红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陈渊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2017020172 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P2P模式下非法吸收公众存款罪数额认定研究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魏红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蒋琴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2017020192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邹某偷换二维码案分析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魏红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杨再滔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201503510093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非法采伐、毁坏国家重点保护植物罪若干问题研究——以贵州黔东南州非法采伐、毁坏楠木类案为例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吴宇佳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2017020264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民营企业家非法集资犯罪司法处理实证考察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陈松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周剑云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贵州财经大学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王飞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贵州省社科院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康军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贺明吓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刘杰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https://meeting.tencent.com/s/NsVNn7up4xp3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311 122 524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+8675536550000,,311122524#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+85230018898,,,2,311122524#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7BD38DC"/>
    <w:rsid w:val="33AF619B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2020-06-02T03:40:54Z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