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hint="eastAsia" w:ascii="仿宋" w:hAnsi="仿宋" w:eastAsia="仿宋" w:cs="Times New Roman"/>
          <w:b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  <w:r>
        <w:rPr>
          <w:rFonts w:hint="eastAsia" w:ascii="仿宋" w:hAnsi="仿宋" w:eastAsia="仿宋" w:cs="Times New Roman"/>
          <w:b/>
          <w:sz w:val="32"/>
          <w:szCs w:val="32"/>
          <w:lang w:eastAsia="zh-CN"/>
        </w:rPr>
        <w:t>法学院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tbl>
      <w:tblPr>
        <w:tblStyle w:val="4"/>
        <w:tblpPr w:leftFromText="180" w:rightFromText="180" w:vertAnchor="text" w:horzAnchor="page" w:tblpX="177" w:tblpY="286"/>
        <w:tblOverlap w:val="never"/>
        <w:tblW w:w="11374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6"/>
        <w:gridCol w:w="890"/>
        <w:gridCol w:w="1120"/>
        <w:gridCol w:w="1046"/>
        <w:gridCol w:w="1046"/>
        <w:gridCol w:w="881"/>
        <w:gridCol w:w="3211"/>
        <w:gridCol w:w="1046"/>
        <w:gridCol w:w="178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</w:trPr>
        <w:tc>
          <w:tcPr>
            <w:tcW w:w="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专业/学科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是否完成培养课程及培养环节且都合格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是否通过论文评阅</w:t>
            </w:r>
          </w:p>
        </w:tc>
        <w:tc>
          <w:tcPr>
            <w:tcW w:w="3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论文题目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导师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答辩时间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孙靖凯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2017020234 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未成年人侵权责任承担路径分析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田莉姝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8:00-8:45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吴娟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2017020394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不动产物权登记的效力研究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——以物权法与民事诉讼法关于执行规定的衔接为视角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冷传莉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8:45-9：30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王荣志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2017020251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旅游合同违约精神损害赔偿实证分析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陈松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9:30-10:15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张宏炜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2017020287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论我国民事自助行为的界定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冷传莉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10:15-11:00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强雪婷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2017020379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中小学校园侵权学校补充责任的司法现状考察与困境突破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冷传莉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11:00-11:45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周梦元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2017020312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论我国军婚民事特别保护制度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蒋浩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13：:00-13:45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周晓寒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2017020412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电子商务平台经营者民事法律责任问题研究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冷传莉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13：45-14:30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沈子程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2017020229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机动车交通事故之责任主体认定-基于“二元论”的司法裁判实证研究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冷传莉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14:30-15:15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罗文君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2017020213 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保险人代位求偿权的司法实证研究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冷传莉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15:15-16:00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李月丹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2017020322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民间借贷中民刑交叉问题研究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蒋浩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16：00-16:45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何颖慧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2017020183 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公平责任一般性条款的司法适用——基于我国1647份司法判例的研究分析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蒋浩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16：:45-17:30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胡瑶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2017020186 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预付式消费的法律风险及其防控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陈松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17:30-18:15</w:t>
            </w:r>
          </w:p>
        </w:tc>
      </w:tr>
    </w:tbl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  <w:bookmarkStart w:id="0" w:name="_GoBack"/>
      <w:bookmarkEnd w:id="0"/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李萍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王磊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邓峰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贵阳学院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李夏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陈松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6.8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https://meeting.tencent.com/s/AAX4ULrk8PYH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573 719 610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+8675536550000,,573719610#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+85230018898,,,2,573719610# (中国香港)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hint="eastAsia" w:ascii="仿宋" w:hAnsi="仿宋" w:eastAsia="仿宋" w:cs="Times New Roman"/>
          <w:sz w:val="28"/>
          <w:szCs w:val="28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+85230018898 (中国香港)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1E783D36"/>
    <w:rsid w:val="62624799"/>
    <w:rsid w:val="645A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0</TotalTime>
  <ScaleCrop>false</ScaleCrop>
  <LinksUpToDate>false</LinksUpToDate>
  <CharactersWithSpaces>633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罗旋</cp:lastModifiedBy>
  <dcterms:modified xsi:type="dcterms:W3CDTF">2020-06-02T03:37:40Z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