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hint="eastAsia" w:ascii="仿宋" w:hAnsi="仿宋" w:eastAsia="仿宋" w:cs="Times New Roman"/>
          <w:b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  <w:r>
        <w:rPr>
          <w:rFonts w:hint="eastAsia" w:ascii="仿宋" w:hAnsi="仿宋" w:eastAsia="仿宋" w:cs="Times New Roman"/>
          <w:b/>
          <w:sz w:val="32"/>
          <w:szCs w:val="32"/>
          <w:lang w:eastAsia="zh-CN"/>
        </w:rPr>
        <w:t>法学院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tbl>
      <w:tblPr>
        <w:tblStyle w:val="4"/>
        <w:tblpPr w:leftFromText="180" w:rightFromText="180" w:vertAnchor="text" w:horzAnchor="page" w:tblpX="867" w:tblpY="1366"/>
        <w:tblOverlap w:val="never"/>
        <w:tblW w:w="1024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4"/>
        <w:gridCol w:w="864"/>
        <w:gridCol w:w="1095"/>
        <w:gridCol w:w="902"/>
        <w:gridCol w:w="914"/>
        <w:gridCol w:w="1018"/>
        <w:gridCol w:w="2899"/>
        <w:gridCol w:w="824"/>
        <w:gridCol w:w="130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专业/学科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是否完成培养课程及培养环节且都合格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是否通过论文评阅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论文题目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导师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答辩时间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虞新惠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2017020283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未成年人奸淫幼女行为的司法认定问题研究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王占洲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8:00-8:45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2017020170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李银建故意杀人案法理分析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王占洲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8:45-9：30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田金香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2017020240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“套路贷”犯罪刑法规制研究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王占洲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9:30-10:15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2017020188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关于网络色情弹窗行为的刑法评价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王占洲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10:15-11:00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杨明阳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2017020278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以国际贸易为视角探析商业秘密的刑事保护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王占洲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11:00-11:45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王春波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2017020246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邵某交通肇事案案例分析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刘莉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13：:00-13:45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郭堂军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2017020179 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陈某杰故意伤害案案例分析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刘莉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13：45-14:30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翟迪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2017020285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周某集资诈骗案案例分析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刘莉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14:30-15:15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高彩芬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2017020356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张某勇等绑架案案例分析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刘莉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15:15-16:00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林慧萍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2017020206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实行行为的“危险”判断研究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李运才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16：00-16:45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罗鹏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2017020328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轮奸未遂研究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李运才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16：:45-17:30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王珊珊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2017020337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防卫过当的司法认定研究—以王某故意伤害案为例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李运才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17:30-18:15</w:t>
            </w:r>
          </w:p>
        </w:tc>
      </w:tr>
    </w:tbl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魏红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王燕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贵州警察学院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邹易材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贵州省委党校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杜浩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陈松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bookmarkStart w:id="0" w:name="_GoBack"/>
      <w:bookmarkEnd w:id="0"/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6.8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https://meeting.tencent.com/s/xruJg4iztl2a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151 497 303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+8675536550000,,151497303#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+85230018898,,,2,151497303# (中国香港)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0D6B711D"/>
    <w:rsid w:val="53F156B6"/>
    <w:rsid w:val="645A0C77"/>
    <w:rsid w:val="6672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0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罗旋</cp:lastModifiedBy>
  <dcterms:modified xsi:type="dcterms:W3CDTF">2020-05-30T04:18:53Z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